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color w:val="000000"/>
        </w:rPr>
      </w:pPr>
      <w:r>
        <w:rPr>
          <w:rFonts w:hint="eastAsia" w:eastAsia="方正小标宋简体" w:cs="Arial Unicode MS"/>
          <w:bCs/>
          <w:w w:val="95"/>
          <w:sz w:val="44"/>
          <w:szCs w:val="44"/>
        </w:rPr>
        <w:t>2023</w:t>
      </w:r>
      <w:r>
        <w:rPr>
          <w:rFonts w:hint="eastAsia" w:ascii="方正小标宋简体" w:hAnsi="Arial Unicode MS" w:eastAsia="方正小标宋简体" w:cs="Arial Unicode MS"/>
          <w:bCs/>
          <w:w w:val="95"/>
          <w:sz w:val="44"/>
          <w:szCs w:val="44"/>
        </w:rPr>
        <w:t>年度宁波财经学院大学生科研项目申报汇总表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</w:rPr>
        <w:t xml:space="preserve"> </w:t>
      </w:r>
    </w:p>
    <w:p>
      <w:pPr>
        <w:spacing w:line="700" w:lineRule="exact"/>
        <w:jc w:val="center"/>
        <w:rPr>
          <w:rFonts w:ascii="方正小标宋简体" w:hAnsi="Arial Unicode MS" w:eastAsia="方正小标宋简体" w:cs="Arial Unicode MS"/>
          <w:bCs/>
          <w:w w:val="95"/>
          <w:sz w:val="44"/>
          <w:szCs w:val="44"/>
        </w:rPr>
      </w:pPr>
      <w:r>
        <w:rPr>
          <w:rFonts w:hint="eastAsia"/>
          <w:color w:val="000000"/>
        </w:rPr>
        <w:t xml:space="preserve">                               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843"/>
        <w:gridCol w:w="3275"/>
        <w:gridCol w:w="11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b/>
                <w:color w:val="000000"/>
                <w:sz w:val="28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21"/>
                <w:lang w:val="en-US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b/>
                <w:color w:val="000000"/>
                <w:sz w:val="28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21"/>
                <w:lang w:val="en-US"/>
              </w:rPr>
              <w:t>项目类别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b/>
                <w:color w:val="000000"/>
                <w:sz w:val="28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21"/>
                <w:lang w:val="en-US"/>
              </w:rPr>
              <w:t>项目名称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b/>
                <w:color w:val="000000"/>
                <w:sz w:val="28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21"/>
                <w:lang w:val="en-US"/>
              </w:rPr>
              <w:t>负责人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b/>
                <w:color w:val="000000"/>
                <w:sz w:val="28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21"/>
                <w:lang w:val="en-US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自然科学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 w:ascii="宋体" w:hAnsi="宋体"/>
              </w:rPr>
              <w:t>“信手拈来”—智能变刚度“象鼻”仿生柔性抓取机器人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>徐</w:t>
            </w:r>
            <w:r>
              <w:rPr>
                <w:rFonts w:hint="eastAsia"/>
                <w:color w:val="000000"/>
              </w:rPr>
              <w:t>嘉鑫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俞国阳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自然科学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基于YOLO算法的船舶目标检测与识别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徐溢聪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孙德超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自然科学</w:t>
            </w:r>
          </w:p>
        </w:tc>
        <w:tc>
          <w:tcPr>
            <w:tcW w:w="3275" w:type="dxa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基于概率扩散模型的遥感影像地物变化检测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赵洁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孙德超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3275" w:type="dxa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基于生成对抗网络的古文物孔洞及彩色纹理修复研究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金佳杰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林丹益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3275" w:type="dxa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基于实验环境的水下机器人技术研究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颜孙炜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杨昱昺  李占平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自然科学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基于数字孪生的农业水价交互系统构建研究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张泳琪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刘邦权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水肥一体化控制数字孪生系统研制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钟俞航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刘邦权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水域卫士——基于物联网的水域电流和污染监测装置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周韵颖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</w:rPr>
              <w:t>倪晨晨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哲学社会科学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</w:pPr>
            <w:r>
              <w:rPr>
                <w:rFonts w:hint="eastAsia"/>
              </w:rPr>
              <w:t>甬续正能量 薪火相传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方正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/>
              <w:ind w:left="0" w:leftChars="0"/>
              <w:jc w:val="center"/>
              <w:rPr>
                <w:rStyle w:val="10"/>
              </w:rPr>
            </w:pPr>
            <w:r>
              <w:rPr>
                <w:rFonts w:hint="eastAsia"/>
              </w:rPr>
              <w:t>童心磊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张巧玲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乔丽萍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3275" w:type="dxa"/>
          </w:tcPr>
          <w:p>
            <w:pPr>
              <w:pStyle w:val="2"/>
              <w:snapToGrid w:val="0"/>
              <w:spacing w:after="0" w:line="400" w:lineRule="exact"/>
              <w:ind w:left="0" w:leftChars="0"/>
            </w:pPr>
            <w:r>
              <w:rPr>
                <w:rFonts w:hint="eastAsia"/>
              </w:rPr>
              <w:t>“智能药盒” 关键技术研究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高海龙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姚晋丽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哲学社会科学</w:t>
            </w:r>
          </w:p>
        </w:tc>
        <w:tc>
          <w:tcPr>
            <w:tcW w:w="3275" w:type="dxa"/>
            <w:vAlign w:val="center"/>
          </w:tcPr>
          <w:p>
            <w:pPr>
              <w:pStyle w:val="2"/>
              <w:snapToGrid w:val="0"/>
              <w:spacing w:after="0" w:line="400" w:lineRule="exact"/>
              <w:ind w:left="0" w:leftChars="0"/>
              <w:jc w:val="center"/>
            </w:pPr>
            <w:r>
              <w:rPr>
                <w:rFonts w:hint="eastAsia"/>
              </w:rPr>
              <w:t>乡村振兴背景下的衢州桑蚕业发展模式分析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石尊奇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</w:pPr>
            <w:r>
              <w:rPr>
                <w:rFonts w:hint="eastAsia"/>
              </w:rPr>
              <w:t>童心磊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lODAxNGZkMWQ0ZTViMDEyMmY3OWM0YzRkZjUyMGQifQ=="/>
  </w:docVars>
  <w:rsids>
    <w:rsidRoot w:val="00C21803"/>
    <w:rsid w:val="00013292"/>
    <w:rsid w:val="000753C6"/>
    <w:rsid w:val="000F1DA9"/>
    <w:rsid w:val="001A16B8"/>
    <w:rsid w:val="001A44A7"/>
    <w:rsid w:val="001E3F6D"/>
    <w:rsid w:val="002E03F9"/>
    <w:rsid w:val="002E398F"/>
    <w:rsid w:val="00375210"/>
    <w:rsid w:val="003B3EAB"/>
    <w:rsid w:val="00413A62"/>
    <w:rsid w:val="00414BA5"/>
    <w:rsid w:val="00416682"/>
    <w:rsid w:val="00420E02"/>
    <w:rsid w:val="00443638"/>
    <w:rsid w:val="00497B44"/>
    <w:rsid w:val="00544985"/>
    <w:rsid w:val="005B0042"/>
    <w:rsid w:val="005B4220"/>
    <w:rsid w:val="006043A3"/>
    <w:rsid w:val="006A39A3"/>
    <w:rsid w:val="00736272"/>
    <w:rsid w:val="007555D7"/>
    <w:rsid w:val="00775A4D"/>
    <w:rsid w:val="007A5517"/>
    <w:rsid w:val="007A65A7"/>
    <w:rsid w:val="008600C3"/>
    <w:rsid w:val="00875AA1"/>
    <w:rsid w:val="00877CD3"/>
    <w:rsid w:val="008D6333"/>
    <w:rsid w:val="00945B53"/>
    <w:rsid w:val="00AC1DCC"/>
    <w:rsid w:val="00AC3851"/>
    <w:rsid w:val="00AD1CEB"/>
    <w:rsid w:val="00B3764F"/>
    <w:rsid w:val="00C21803"/>
    <w:rsid w:val="00C704D9"/>
    <w:rsid w:val="00CF7657"/>
    <w:rsid w:val="00D235F2"/>
    <w:rsid w:val="00DB230E"/>
    <w:rsid w:val="00DD7964"/>
    <w:rsid w:val="00DE403B"/>
    <w:rsid w:val="00E941E8"/>
    <w:rsid w:val="00EB7B3E"/>
    <w:rsid w:val="00EF43BB"/>
    <w:rsid w:val="00F31DCD"/>
    <w:rsid w:val="00F53637"/>
    <w:rsid w:val="00F674E8"/>
    <w:rsid w:val="00FC227B"/>
    <w:rsid w:val="515C46F0"/>
    <w:rsid w:val="6E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kern w:val="0"/>
      <w:sz w:val="24"/>
      <w:lang w:val="zh-C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10">
    <w:name w:val="Subtle Emphasis"/>
    <w:basedOn w:val="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718C-C9C5-4084-9169-83514A135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32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2023-11-13T05:44:00Z</dcterms:created>
  <dc:creator>ASUS</dc:creator>
  <cp:lastModifiedBy>Administrator</cp:lastModifiedBy>
  <dcterms:modified xsi:type="dcterms:W3CDTF">2023-11-14T02:38:01Z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C76BC9D1F0924A838D7EC468421CC1CD_12</vt:lpwstr>
  </property>
</Properties>
</file>