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val="en-US" w:eastAsia="zh-CN"/>
        </w:rPr>
        <w:t>东方财富Choice金融终端（高校版）</w:t>
      </w:r>
    </w:p>
    <w:p>
      <w:pPr>
        <w:pStyle w:val="3"/>
        <w:bidi w:val="0"/>
        <w:rPr>
          <w:rFonts w:hint="eastAsia"/>
          <w:lang w:val="en-US" w:eastAsia="zh-CN"/>
        </w:rPr>
      </w:pPr>
      <w:r>
        <w:rPr>
          <w:rFonts w:hint="eastAsia"/>
          <w:lang w:val="en-US" w:eastAsia="zh-CN"/>
        </w:rPr>
        <w:t>数据库链接：</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r>
        <w:rPr>
          <w:rStyle w:val="6"/>
          <w:rFonts w:ascii="Arial" w:hAnsi="Arial" w:eastAsia="宋体" w:cs="Arial"/>
          <w:i w:val="0"/>
          <w:iCs w:val="0"/>
          <w:caps w:val="0"/>
          <w:color w:val="111111"/>
          <w:spacing w:val="0"/>
          <w:sz w:val="19"/>
          <w:szCs w:val="19"/>
          <w:shd w:val="clear" w:fill="FFFFFF"/>
        </w:rPr>
        <w:t> </w:t>
      </w:r>
      <w:r>
        <w:rPr>
          <w:rFonts w:hint="eastAsia" w:ascii="微软雅黑" w:hAnsi="微软雅黑" w:eastAsia="微软雅黑" w:cs="微软雅黑"/>
          <w:lang w:val="en-US" w:eastAsia="zh-CN"/>
        </w:rPr>
        <w:t>宁波财经学院</w:t>
      </w:r>
      <w:r>
        <w:rPr>
          <w:rFonts w:hint="default" w:ascii="微软雅黑" w:hAnsi="微软雅黑" w:eastAsia="微软雅黑" w:cs="微软雅黑"/>
          <w:lang w:val="en-US" w:eastAsia="zh-CN"/>
        </w:rPr>
        <w:t>师生可在校园网IP范围内</w:t>
      </w:r>
      <w:r>
        <w:rPr>
          <w:rFonts w:hint="eastAsia" w:ascii="微软雅黑" w:hAnsi="微软雅黑" w:eastAsia="微软雅黑" w:cs="微软雅黑"/>
          <w:lang w:val="en-US" w:eastAsia="zh-CN"/>
        </w:rPr>
        <w:t>下载、</w:t>
      </w:r>
      <w:r>
        <w:rPr>
          <w:rFonts w:hint="default" w:ascii="微软雅黑" w:hAnsi="微软雅黑" w:eastAsia="微软雅黑" w:cs="微软雅黑"/>
          <w:lang w:val="en-US" w:eastAsia="zh-CN"/>
        </w:rPr>
        <w:t>注册并使用Choice金融终端</w:t>
      </w:r>
      <w:r>
        <w:rPr>
          <w:rFonts w:hint="eastAsia" w:ascii="微软雅黑" w:hAnsi="微软雅黑" w:eastAsia="微软雅黑" w:cs="微软雅黑"/>
          <w:lang w:val="en-US" w:eastAsia="zh-CN"/>
        </w:rPr>
        <w:t>（</w:t>
      </w:r>
      <w:r>
        <w:rPr>
          <w:rFonts w:hint="default" w:ascii="微软雅黑" w:hAnsi="微软雅黑" w:eastAsia="微软雅黑" w:cs="微软雅黑"/>
          <w:lang w:val="en-US" w:eastAsia="zh-CN"/>
        </w:rPr>
        <w:t>高校版</w:t>
      </w:r>
      <w:r>
        <w:rPr>
          <w:rFonts w:hint="eastAsia" w:ascii="微软雅黑" w:hAnsi="微软雅黑" w:eastAsia="微软雅黑" w:cs="微软雅黑"/>
          <w:lang w:val="en-US" w:eastAsia="zh-CN"/>
        </w:rPr>
        <w:t>），高校版下载中心：http://choice.eastmoney.com/SchoolApply 点击下载安装。</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2.完成注册</w:t>
      </w:r>
      <w:bookmarkStart w:id="0" w:name="_GoBack"/>
      <w:bookmarkEnd w:id="0"/>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校园内</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校园网环境下注册登录后可直接使用。</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校园外</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需在官网下载中心完成认证申请后开通权限。</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（1）提交申请</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申请需要高校师生进行实名认证，证明材料包括但不限于edu邮箱、手机号、教师证、学生证等。</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（2）等待审核</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用户提交申请后，2-3个工作日内对申请用户进行审核，并通过短信及邮箱（若填写）告知用户审核结果。</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（3）审核通过</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审核通过，即可不受校园网局限，登录账号使用Choice金融终端高校版（不包括“金融实验室功能”等）。</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审核不通过，短信及邮箱（若填写）通知用户，可进行二次申请。</w:t>
      </w:r>
    </w:p>
    <w:p>
      <w:pPr>
        <w:bidi w:val="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如用户对审核结果有任何疑问，可咨询：400-620-1818。</w:t>
      </w:r>
    </w:p>
    <w:p>
      <w:pPr>
        <w:rPr>
          <w:rStyle w:val="6"/>
          <w:rFonts w:hint="default" w:ascii="Arial" w:hAnsi="Arial" w:eastAsia="宋体" w:cs="Arial"/>
          <w:i w:val="0"/>
          <w:iCs w:val="0"/>
          <w:caps w:val="0"/>
          <w:color w:val="111111"/>
          <w:spacing w:val="0"/>
          <w:sz w:val="19"/>
          <w:szCs w:val="19"/>
          <w:shd w:val="clear" w:fill="FFFFFF"/>
          <w:lang w:val="en-US" w:eastAsia="zh-CN"/>
        </w:rPr>
      </w:pPr>
    </w:p>
    <w:p>
      <w:pPr>
        <w:rPr>
          <w:rFonts w:hint="default" w:ascii="Arial" w:hAnsi="Arial" w:eastAsia="宋体" w:cs="Arial"/>
          <w:i w:val="0"/>
          <w:iCs w:val="0"/>
          <w:caps w:val="0"/>
          <w:color w:val="111111"/>
          <w:spacing w:val="0"/>
          <w:sz w:val="19"/>
          <w:szCs w:val="19"/>
          <w:shd w:val="clear" w:fill="FFFFFF"/>
        </w:rPr>
      </w:pPr>
      <w:r>
        <w:rPr>
          <w:rStyle w:val="7"/>
        </w:rPr>
        <w:t>终端介绍：</w:t>
      </w:r>
      <w:r>
        <w:rPr>
          <w:rStyle w:val="7"/>
          <w:rFonts w:hint="default"/>
        </w:rPr>
        <w:t> </w:t>
      </w:r>
      <w:r>
        <w:rPr>
          <w:rFonts w:hint="default" w:ascii="Arial" w:hAnsi="Arial" w:eastAsia="宋体" w:cs="Arial"/>
          <w:i w:val="0"/>
          <w:iCs w:val="0"/>
          <w:caps w:val="0"/>
          <w:color w:val="111111"/>
          <w:spacing w:val="0"/>
          <w:sz w:val="19"/>
          <w:szCs w:val="19"/>
          <w:shd w:val="clear" w:fill="FFFFFF"/>
        </w:rPr>
        <w:t xml:space="preserve"> </w:t>
      </w:r>
    </w:p>
    <w:p>
      <w:pPr>
        <w:bidi w:val="0"/>
        <w:rPr>
          <w:rFonts w:hint="eastAsia" w:ascii="微软雅黑" w:hAnsi="微软雅黑" w:eastAsia="微软雅黑" w:cs="微软雅黑"/>
        </w:rPr>
      </w:pPr>
      <w:r>
        <w:rPr>
          <w:rFonts w:hint="eastAsia" w:ascii="微软雅黑" w:hAnsi="微软雅黑" w:eastAsia="微软雅黑" w:cs="微软雅黑"/>
        </w:rPr>
        <w:t>Choice金融终端（高校版）是东方财富旗下一款专业的金融数据分析与投资管理软件，终端内容涵盖股票、固收、基金、商品、外汇、宏观行业等领域，提供Excel插件、组合管理等应用工具，围绕投资及学习研究全程，包括经济建模、案例分析、证券模拟，帮助大学生学以致用，加深帮助用户金融数据整理与分析能力。</w:t>
      </w:r>
    </w:p>
    <w:p>
      <w:pPr>
        <w:pStyle w:val="3"/>
        <w:bidi w:val="0"/>
        <w:rPr>
          <w:rFonts w:hint="eastAsia"/>
        </w:rPr>
      </w:pPr>
      <w:r>
        <w:rPr>
          <w:rFonts w:hint="eastAsia"/>
        </w:rPr>
        <w:t>终端特色</w:t>
      </w:r>
    </w:p>
    <w:p>
      <w:pPr>
        <w:rPr>
          <w:rFonts w:hint="eastAsia"/>
        </w:rPr>
      </w:pPr>
      <w:r>
        <w:drawing>
          <wp:inline distT="0" distB="0" distL="114300" distR="114300">
            <wp:extent cx="5551805" cy="1074420"/>
            <wp:effectExtent l="0" t="0" r="10795" b="7620"/>
            <wp:docPr id="17" name="图片 16" descr="H:\kc\■已完成项目\◆ 品宣\● Choice数据\PPT\6-2.png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H:\kc\■已完成项目\◆ 品宣\● Choice数据\PPT\6-2.png6-2"/>
                    <pic:cNvPicPr>
                      <a:picLocks noChangeAspect="1"/>
                    </pic:cNvPicPr>
                  </pic:nvPicPr>
                  <pic:blipFill>
                    <a:blip r:embed="rId4"/>
                    <a:srcRect/>
                    <a:stretch>
                      <a:fillRect/>
                    </a:stretch>
                  </pic:blipFill>
                  <pic:spPr>
                    <a:xfrm>
                      <a:off x="0" y="0"/>
                      <a:ext cx="5551805" cy="1074420"/>
                    </a:xfrm>
                    <a:prstGeom prst="rect">
                      <a:avLst/>
                    </a:prstGeom>
                  </pic:spPr>
                </pic:pic>
              </a:graphicData>
            </a:graphic>
          </wp:inline>
        </w:drawing>
      </w:r>
    </w:p>
    <w:p>
      <w:pPr>
        <w:pStyle w:val="3"/>
        <w:bidi w:val="0"/>
        <w:rPr>
          <w:rFonts w:hint="eastAsia"/>
          <w:b/>
        </w:rPr>
      </w:pPr>
      <w:r>
        <w:rPr>
          <w:rFonts w:hint="eastAsia"/>
          <w:b/>
        </w:rPr>
        <w:t>高校版终端核心功能</w:t>
      </w:r>
    </w:p>
    <w:p>
      <w:pPr>
        <w:rPr>
          <w:rFonts w:hint="eastAsia" w:ascii="微软雅黑" w:hAnsi="微软雅黑" w:eastAsia="微软雅黑" w:cs="微软雅黑"/>
          <w:b/>
          <w:bCs/>
          <w:lang w:eastAsia="zh-CN"/>
        </w:rPr>
      </w:pPr>
      <w:r>
        <w:rPr>
          <w:rFonts w:hint="eastAsia" w:ascii="微软雅黑" w:hAnsi="微软雅黑" w:eastAsia="微软雅黑" w:cs="微软雅黑"/>
          <w:b/>
          <w:bCs/>
        </w:rPr>
        <w:t>市场行情</w:t>
      </w:r>
      <w:r>
        <w:rPr>
          <w:rFonts w:hint="eastAsia" w:ascii="微软雅黑" w:hAnsi="微软雅黑" w:eastAsia="微软雅黑" w:cs="微软雅黑"/>
          <w:b/>
          <w:bCs/>
          <w:lang w:eastAsia="zh-CN"/>
        </w:rPr>
        <w:t>：</w:t>
      </w:r>
    </w:p>
    <w:p>
      <w:pPr>
        <w:bidi w:val="0"/>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Choice金融终端（高校版）提供沪深京level-2全息盘口行情和高频数据，全球证券市场和指数行情，覆盖股票、债券、基金、期货、现货、期权、外汇、利率、理财等交易品种。</w:t>
      </w:r>
    </w:p>
    <w:p>
      <w:pPr>
        <w:numPr>
          <w:ilvl w:val="0"/>
          <w:numId w:val="0"/>
        </w:numPr>
        <w:bidi w:val="0"/>
        <w:rPr>
          <w:rFonts w:hint="default" w:ascii="微软雅黑" w:hAnsi="微软雅黑" w:eastAsia="微软雅黑" w:cs="微软雅黑"/>
          <w:b/>
          <w:bCs/>
          <w:lang w:val="en-US" w:eastAsia="zh-CN"/>
        </w:rPr>
      </w:pPr>
      <w:r>
        <w:rPr>
          <w:rFonts w:hint="default" w:ascii="微软雅黑" w:hAnsi="微软雅黑" w:eastAsia="微软雅黑" w:cs="微软雅黑"/>
          <w:b/>
          <w:bCs/>
          <w:lang w:val="en-US" w:eastAsia="zh-CN"/>
        </w:rPr>
        <w:t>股票数据浏览器</w:t>
      </w:r>
      <w:r>
        <w:rPr>
          <w:rFonts w:hint="eastAsia" w:ascii="微软雅黑" w:hAnsi="微软雅黑" w:eastAsia="微软雅黑" w:cs="微软雅黑"/>
          <w:b/>
          <w:bCs/>
          <w:lang w:val="en-US" w:eastAsia="zh-CN"/>
        </w:rPr>
        <w:t>：</w:t>
      </w:r>
    </w:p>
    <w:p>
      <w:pPr>
        <w:numPr>
          <w:ilvl w:val="0"/>
          <w:numId w:val="0"/>
        </w:numPr>
        <w:bidi w:val="0"/>
        <w:rPr>
          <w:rFonts w:hint="default" w:ascii="微软雅黑" w:hAnsi="微软雅黑" w:eastAsia="微软雅黑" w:cs="微软雅黑"/>
          <w:lang w:val="en-US" w:eastAsia="zh-CN"/>
        </w:rPr>
      </w:pPr>
      <w:r>
        <w:rPr>
          <w:rFonts w:hint="default" w:ascii="微软雅黑" w:hAnsi="微软雅黑" w:eastAsia="微软雅黑" w:cs="微软雅黑"/>
          <w:lang w:val="en-US" w:eastAsia="zh-CN"/>
        </w:rPr>
        <w:t>股票数据浏览器适用于查看与提取各品类证券以及金融机构的数据指标，合并了指标浏览和条件选股，并包含实用的数据和图形、分组统计、 指标管理、数据筛选、指标和模板导入导出以及指标排名等功能。</w:t>
      </w:r>
    </w:p>
    <w:p>
      <w:pPr>
        <w:numPr>
          <w:ilvl w:val="0"/>
          <w:numId w:val="0"/>
        </w:numPr>
        <w:bidi w:val="0"/>
        <w:rPr>
          <w:rFonts w:hint="default" w:ascii="微软雅黑" w:hAnsi="微软雅黑" w:eastAsia="微软雅黑" w:cs="微软雅黑"/>
          <w:b/>
          <w:bCs/>
          <w:lang w:val="en-US" w:eastAsia="zh-CN"/>
        </w:rPr>
      </w:pPr>
      <w:r>
        <w:rPr>
          <w:rFonts w:hint="default" w:ascii="微软雅黑" w:hAnsi="微软雅黑" w:eastAsia="微软雅黑" w:cs="微软雅黑"/>
          <w:b/>
          <w:bCs/>
          <w:lang w:val="en-US" w:eastAsia="zh-CN"/>
        </w:rPr>
        <w:t>股票深度资料F9</w:t>
      </w:r>
    </w:p>
    <w:p>
      <w:pPr>
        <w:numPr>
          <w:ilvl w:val="0"/>
          <w:numId w:val="0"/>
        </w:numPr>
        <w:bidi w:val="0"/>
        <w:rPr>
          <w:rFonts w:hint="default" w:ascii="微软雅黑" w:hAnsi="微软雅黑" w:eastAsia="微软雅黑" w:cs="微软雅黑"/>
          <w:b w:val="0"/>
          <w:bCs w:val="0"/>
          <w:lang w:val="en-US" w:eastAsia="zh-CN"/>
        </w:rPr>
      </w:pPr>
      <w:r>
        <w:rPr>
          <w:rFonts w:hint="default" w:ascii="微软雅黑" w:hAnsi="微软雅黑" w:eastAsia="微软雅黑" w:cs="微软雅黑"/>
          <w:b w:val="0"/>
          <w:bCs w:val="0"/>
          <w:lang w:val="en-US" w:eastAsia="zh-CN"/>
        </w:rPr>
        <w:t>全方位展现和剖析上市公司披露的基本信息和数据，包括公司资料、新闻公告、重大事件等，并以图表形式展示公司的财务数据及股东持股情况，辅以财务风险系统来智能化监测公司的财务风险。</w:t>
      </w:r>
    </w:p>
    <w:p>
      <w:pPr>
        <w:numPr>
          <w:ilvl w:val="0"/>
          <w:numId w:val="0"/>
        </w:numPr>
        <w:bidi w:val="0"/>
        <w:rPr>
          <w:rFonts w:hint="default" w:ascii="微软雅黑" w:hAnsi="微软雅黑" w:eastAsia="微软雅黑" w:cs="微软雅黑"/>
          <w:b/>
          <w:bCs/>
          <w:lang w:val="en-US" w:eastAsia="zh-CN"/>
        </w:rPr>
      </w:pPr>
      <w:r>
        <w:rPr>
          <w:rFonts w:hint="default" w:ascii="微软雅黑" w:hAnsi="微软雅黑" w:eastAsia="微软雅黑" w:cs="微软雅黑"/>
          <w:b/>
          <w:bCs/>
          <w:lang w:val="en-US" w:eastAsia="zh-CN"/>
        </w:rPr>
        <w:t>资讯研报</w:t>
      </w:r>
    </w:p>
    <w:p>
      <w:pPr>
        <w:numPr>
          <w:ilvl w:val="0"/>
          <w:numId w:val="0"/>
        </w:numPr>
        <w:bidi w:val="0"/>
        <w:rPr>
          <w:rFonts w:hint="default" w:ascii="微软雅黑" w:hAnsi="微软雅黑" w:eastAsia="微软雅黑" w:cs="微软雅黑"/>
          <w:b w:val="0"/>
          <w:bCs w:val="0"/>
          <w:lang w:val="en-US" w:eastAsia="zh-CN"/>
        </w:rPr>
      </w:pPr>
      <w:r>
        <w:rPr>
          <w:rFonts w:hint="default" w:ascii="微软雅黑" w:hAnsi="微软雅黑" w:eastAsia="微软雅黑" w:cs="微软雅黑"/>
          <w:b w:val="0"/>
          <w:bCs w:val="0"/>
          <w:lang w:val="en-US" w:eastAsia="zh-CN"/>
        </w:rPr>
        <w:t>Choice金融终端（高校版）提供新鲜、海量的金融资讯，每日实时更新上万条资讯，包括财经资讯、公告、研究报告和法律法规，并基于研报数据，及时发布东方财富中国分析师指数。</w:t>
      </w:r>
    </w:p>
    <w:p>
      <w:pPr>
        <w:numPr>
          <w:ilvl w:val="0"/>
          <w:numId w:val="0"/>
        </w:numPr>
        <w:bidi w:val="0"/>
        <w:rPr>
          <w:rFonts w:hint="default" w:ascii="微软雅黑" w:hAnsi="微软雅黑" w:eastAsia="微软雅黑" w:cs="微软雅黑"/>
          <w:b/>
          <w:bCs/>
          <w:lang w:val="en-US" w:eastAsia="zh-CN"/>
        </w:rPr>
      </w:pPr>
      <w:r>
        <w:rPr>
          <w:rFonts w:hint="default" w:ascii="微软雅黑" w:hAnsi="微软雅黑" w:eastAsia="微软雅黑" w:cs="微软雅黑"/>
          <w:b/>
          <w:bCs/>
          <w:lang w:val="en-US" w:eastAsia="zh-CN"/>
        </w:rPr>
        <w:t>宏观行业</w:t>
      </w:r>
    </w:p>
    <w:p>
      <w:pPr>
        <w:numPr>
          <w:ilvl w:val="0"/>
          <w:numId w:val="0"/>
        </w:numPr>
        <w:bidi w:val="0"/>
        <w:rPr>
          <w:rFonts w:hint="default" w:ascii="微软雅黑" w:hAnsi="微软雅黑" w:eastAsia="微软雅黑" w:cs="微软雅黑"/>
          <w:b w:val="0"/>
          <w:bCs w:val="0"/>
          <w:lang w:val="en-US" w:eastAsia="zh-CN"/>
        </w:rPr>
      </w:pPr>
      <w:r>
        <w:rPr>
          <w:rFonts w:hint="default" w:ascii="微软雅黑" w:hAnsi="微软雅黑" w:eastAsia="微软雅黑" w:cs="微软雅黑"/>
          <w:b w:val="0"/>
          <w:bCs w:val="0"/>
          <w:lang w:val="en-US" w:eastAsia="zh-CN"/>
        </w:rPr>
        <w:t>Choice金融终端（高校版）提供了宏观、行业研究必备的工具与模块，包括经济数据库EDB、特色宏观专题、行业中心等，满足学术研究机构宏观、行业研究的数据需求，帮助用户收集分析资讯与数据，紧密联系实际来解决有关的理论问题。</w:t>
      </w:r>
    </w:p>
    <w:p>
      <w:pPr>
        <w:numPr>
          <w:ilvl w:val="0"/>
          <w:numId w:val="0"/>
        </w:numPr>
        <w:bidi w:val="0"/>
        <w:rPr>
          <w:rFonts w:hint="default" w:ascii="微软雅黑" w:hAnsi="微软雅黑" w:eastAsia="微软雅黑" w:cs="微软雅黑"/>
          <w:b/>
          <w:bCs/>
          <w:lang w:val="en-US" w:eastAsia="zh-CN"/>
        </w:rPr>
      </w:pPr>
      <w:r>
        <w:rPr>
          <w:rFonts w:hint="default" w:ascii="微软雅黑" w:hAnsi="微软雅黑" w:eastAsia="微软雅黑" w:cs="微软雅黑"/>
          <w:b/>
          <w:bCs/>
          <w:lang w:val="en-US" w:eastAsia="zh-CN"/>
        </w:rPr>
        <w:t>组合管理</w:t>
      </w:r>
    </w:p>
    <w:p>
      <w:pPr>
        <w:numPr>
          <w:ilvl w:val="0"/>
          <w:numId w:val="0"/>
        </w:numPr>
        <w:bidi w:val="0"/>
        <w:rPr>
          <w:rFonts w:hint="default" w:ascii="微软雅黑" w:hAnsi="微软雅黑" w:eastAsia="微软雅黑" w:cs="微软雅黑"/>
          <w:b w:val="0"/>
          <w:bCs w:val="0"/>
          <w:lang w:val="en-US" w:eastAsia="zh-CN"/>
        </w:rPr>
      </w:pPr>
      <w:r>
        <w:rPr>
          <w:rFonts w:hint="default" w:ascii="微软雅黑" w:hAnsi="微软雅黑" w:eastAsia="微软雅黑" w:cs="微软雅黑"/>
          <w:b w:val="0"/>
          <w:bCs w:val="0"/>
          <w:lang w:val="en-US" w:eastAsia="zh-CN"/>
        </w:rPr>
        <w:t>组合管理提供了管理投资组合的专业工具，包括组合设置、组合监控、组合交易、组合分析、组合总览等常用功能，同时提供了组合分享的特色功能。组合数据浏览器多维查看盈亏、风险、交易、持仓等数据，自定义指标分析投资组合，多维对比多个组合的真实表现。</w:t>
      </w:r>
    </w:p>
    <w:p>
      <w:pPr>
        <w:numPr>
          <w:ilvl w:val="0"/>
          <w:numId w:val="0"/>
        </w:numPr>
        <w:bidi w:val="0"/>
        <w:rPr>
          <w:rFonts w:hint="default" w:ascii="微软雅黑" w:hAnsi="微软雅黑" w:eastAsia="微软雅黑" w:cs="微软雅黑"/>
          <w:b w:val="0"/>
          <w:bCs w:val="0"/>
          <w:lang w:val="en-US" w:eastAsia="zh-CN"/>
        </w:rPr>
      </w:pPr>
    </w:p>
    <w:p>
      <w:pPr>
        <w:numPr>
          <w:ilvl w:val="0"/>
          <w:numId w:val="0"/>
        </w:numPr>
        <w:bidi w:val="0"/>
        <w:rPr>
          <w:rFonts w:hint="default" w:ascii="微软雅黑" w:hAnsi="微软雅黑" w:eastAsia="微软雅黑" w:cs="微软雅黑"/>
          <w:b/>
          <w:bCs/>
          <w:lang w:val="en-US" w:eastAsia="zh-CN"/>
        </w:rPr>
      </w:pPr>
    </w:p>
    <w:p>
      <w:pPr>
        <w:numPr>
          <w:ilvl w:val="0"/>
          <w:numId w:val="0"/>
        </w:numPr>
        <w:bidi w:val="0"/>
        <w:rPr>
          <w:rFonts w:hint="default" w:ascii="微软雅黑" w:hAnsi="微软雅黑" w:eastAsia="微软雅黑" w:cs="微软雅黑"/>
          <w:b/>
          <w:bCs/>
          <w:lang w:val="en-US" w:eastAsia="zh-CN"/>
        </w:rPr>
      </w:pPr>
    </w:p>
    <w:p>
      <w:pPr>
        <w:numPr>
          <w:ilvl w:val="0"/>
          <w:numId w:val="0"/>
        </w:numPr>
        <w:bidi w:val="0"/>
        <w:rPr>
          <w:rFonts w:hint="default" w:ascii="微软雅黑" w:hAnsi="微软雅黑" w:eastAsia="微软雅黑" w:cs="微软雅黑"/>
          <w:b w:val="0"/>
          <w:bCs w:val="0"/>
          <w:lang w:val="en-US" w:eastAsia="zh-CN"/>
        </w:rPr>
      </w:pPr>
    </w:p>
    <w:p>
      <w:pPr>
        <w:numPr>
          <w:ilvl w:val="0"/>
          <w:numId w:val="0"/>
        </w:numPr>
        <w:bidi w:val="0"/>
        <w:rPr>
          <w:rFonts w:hint="default" w:ascii="微软雅黑" w:hAnsi="微软雅黑" w:eastAsia="微软雅黑" w:cs="微软雅黑"/>
          <w:b/>
          <w:bCs/>
          <w:lang w:val="en-US" w:eastAsia="zh-CN"/>
        </w:rPr>
      </w:pPr>
    </w:p>
    <w:p>
      <w:pPr>
        <w:pStyle w:val="3"/>
        <w:bidi w:val="0"/>
        <w:rPr>
          <w:rFonts w:hint="eastAsia"/>
          <w:b/>
        </w:rPr>
      </w:pPr>
    </w:p>
    <w:p>
      <w:pPr>
        <w:bidi w:val="0"/>
        <w:rPr>
          <w:rFonts w:hint="eastAsia" w:ascii="微软雅黑" w:hAnsi="微软雅黑" w:eastAsia="微软雅黑" w:cs="微软雅黑"/>
        </w:rPr>
      </w:pPr>
    </w:p>
    <w:p>
      <w:pPr>
        <w:rPr>
          <w:rFonts w:hint="eastAsia" w:ascii="微软雅黑" w:hAnsi="微软雅黑" w:eastAsia="微软雅黑" w:cs="微软雅黑"/>
          <w:i w:val="0"/>
          <w:iCs w:val="0"/>
          <w:caps w:val="0"/>
          <w:color w:val="4F4742"/>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A7905"/>
    <w:rsid w:val="0617019F"/>
    <w:rsid w:val="3F5A7905"/>
    <w:rsid w:val="7221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link w:val="7"/>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customStyle="1" w:styleId="7">
    <w:name w:val="标题 4 Char"/>
    <w:link w:val="3"/>
    <w:uiPriority w:val="0"/>
    <w:rPr>
      <w:rFonts w:ascii="Arial" w:hAnsi="Arial" w:eastAsia="黑体"/>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2022-06-08T05:07:00Z</dcterms:created>
  <dc:creator>Mr谭先生</dc:creator>
  <cp:lastModifiedBy>Mr谭先生</cp:lastModifiedBy>
  <dcterms:modified xsi:type="dcterms:W3CDTF">2022-06-16T06:10:34Z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EF410720B2624025AA1FC1CD8B90C8EC</vt:lpwstr>
  </property>
</Properties>
</file>